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B2140C">
        <w:rPr>
          <w:rFonts w:ascii="Times New Roman" w:hAnsi="Times New Roman" w:cs="Times New Roman"/>
          <w:bCs/>
          <w:sz w:val="24"/>
          <w:szCs w:val="24"/>
        </w:rPr>
        <w:t>конкурсе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юридического лица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6732D">
        <w:rPr>
          <w:rFonts w:ascii="Times New Roman" w:hAnsi="Times New Roman" w:cs="Times New Roman"/>
          <w:sz w:val="24"/>
          <w:szCs w:val="24"/>
        </w:rPr>
        <w:t>Курской</w:t>
      </w:r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E51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Полное и сокращенное наименование юридического лица: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Основной государственный регистрационный номер: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Идентификационный номер налогоплательщика: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Место нахождения: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Телефон: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pStyle w:val="16"/>
        <w:keepNext/>
        <w:widowControl w:val="0"/>
        <w:ind w:left="709"/>
        <w:jc w:val="both"/>
      </w:pPr>
      <w:r>
        <w:t>1) документ, подтверждающий внесение заявителем задатка;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 xml:space="preserve">2) документ, подтверждающий полномочия лица на осуществление действий от имени </w:t>
      </w:r>
      <w:r>
        <w:lastRenderedPageBreak/>
        <w:t>заявителя (в случае необходимости);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>3) 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ind w:left="1069"/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(должность заявителя, Ф.И.О)              </w:t>
      </w:r>
      <w:r>
        <w:rPr>
          <w:sz w:val="24"/>
          <w:szCs w:val="24"/>
        </w:rPr>
        <w:tab/>
        <w:t xml:space="preserve">     (подпись</w:t>
      </w: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  <w:r>
        <w:rPr>
          <w:sz w:val="24"/>
          <w:szCs w:val="24"/>
        </w:rPr>
        <w:t>«___» ___________ 20__ г.                                                    М.П.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индивидуального предпринимателя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6732D">
        <w:rPr>
          <w:rFonts w:ascii="Times New Roman" w:hAnsi="Times New Roman" w:cs="Times New Roman"/>
          <w:sz w:val="24"/>
          <w:szCs w:val="24"/>
        </w:rPr>
        <w:t>Курской</w:t>
      </w:r>
      <w:r w:rsidR="00EE51D2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Фамилия, имя, отчество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Данные документа, удостоверяющего личность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Сведения о месте жительства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 xml:space="preserve">Телефон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ИНН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1) документ, подтверждающий внесение заявителем задатка;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              (Ф.И.О.)          </w:t>
      </w:r>
      <w:r>
        <w:rPr>
          <w:sz w:val="24"/>
          <w:szCs w:val="24"/>
        </w:rPr>
        <w:tab/>
        <w:t xml:space="preserve">                                (подпись)</w:t>
      </w:r>
    </w:p>
    <w:p w:rsidR="00802C30" w:rsidRDefault="00802C30">
      <w:pPr>
        <w:pStyle w:val="18"/>
        <w:keepNext/>
        <w:widowControl w:val="0"/>
        <w:jc w:val="center"/>
        <w:rPr>
          <w:i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«___» ___________ 20__ г.                                               М.П.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B2140C">
        <w:rPr>
          <w:rFonts w:ascii="Times New Roman" w:hAnsi="Times New Roman" w:cs="Times New Roman"/>
          <w:bCs/>
          <w:sz w:val="24"/>
          <w:szCs w:val="24"/>
        </w:rPr>
        <w:t>конкурсе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9585"/>
      </w:tblGrid>
      <w:tr w:rsidR="00802C30">
        <w:tc>
          <w:tcPr>
            <w:tcW w:w="9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802C30" w:rsidRPr="00EE51D2" w:rsidRDefault="0080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расположенном на водном объекте и (или) их частях, на территории </w:t>
            </w:r>
            <w:r w:rsidR="00C6732D">
              <w:rPr>
                <w:rFonts w:ascii="Times New Roman" w:hAnsi="Times New Roman" w:cs="Times New Roman"/>
                <w:b/>
                <w:sz w:val="24"/>
                <w:szCs w:val="24"/>
              </w:rPr>
              <w:t>Курской</w:t>
            </w:r>
            <w:r w:rsidR="00EE51D2" w:rsidRPr="00EE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для осуществления аквакультуры (рыбоводства)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(Изменение заявки об участии в конкурсе _________ (наименование конкурса) _____ (регистрационный номер заявки)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___________________________________________________________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конкурса (без указания номера лота), наименование заявителя, адрес и ИНН заявителя. 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EE51D2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>Приложение № 3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B2140C">
        <w:rPr>
          <w:rFonts w:ascii="Times New Roman" w:hAnsi="Times New Roman" w:cs="Times New Roman"/>
          <w:iCs/>
          <w:sz w:val="24"/>
          <w:szCs w:val="24"/>
        </w:rPr>
        <w:t>конкурсе</w:t>
      </w:r>
    </w:p>
    <w:p w:rsidR="00802C30" w:rsidRDefault="00EE51D2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02C30" w:rsidRPr="00C6732D" w:rsidRDefault="0080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C6732D" w:rsidRPr="00C6732D" w:rsidRDefault="00C6732D" w:rsidP="00C67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32D">
        <w:rPr>
          <w:rFonts w:ascii="Times New Roman" w:hAnsi="Times New Roman" w:cs="Times New Roman"/>
          <w:sz w:val="24"/>
          <w:szCs w:val="24"/>
        </w:rPr>
        <w:t>Пруд на ручье Кунач юго-восточнее н. п. Грот Охочевского сельсовета Щигровского района</w:t>
      </w:r>
    </w:p>
    <w:p w:rsidR="00802C30" w:rsidRDefault="00C6732D" w:rsidP="00C6732D">
      <w:pPr>
        <w:spacing w:after="0" w:line="240" w:lineRule="auto"/>
        <w:jc w:val="center"/>
      </w:pPr>
      <w:r w:rsidRPr="00C6732D">
        <w:rPr>
          <w:rFonts w:ascii="Times New Roman" w:hAnsi="Times New Roman" w:cs="Times New Roman"/>
          <w:sz w:val="24"/>
          <w:szCs w:val="24"/>
        </w:rPr>
        <w:t>Курской области</w:t>
      </w:r>
      <w:r w:rsidR="00802C30">
        <w:rPr>
          <w:rFonts w:ascii="Times New Roman" w:hAnsi="Times New Roman" w:cs="Times New Roman"/>
          <w:sz w:val="24"/>
          <w:szCs w:val="24"/>
        </w:rPr>
        <w:t>,</w:t>
      </w:r>
      <w:r w:rsidR="00802C30" w:rsidRPr="00C6732D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="00802C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16,0</w:t>
      </w:r>
      <w:r w:rsidR="00802C30">
        <w:rPr>
          <w:rFonts w:ascii="Times New Roman" w:hAnsi="Times New Roman" w:cs="Times New Roman"/>
          <w:bCs/>
          <w:sz w:val="24"/>
          <w:szCs w:val="24"/>
        </w:rPr>
        <w:t xml:space="preserve"> га</w:t>
      </w:r>
    </w:p>
    <w:p w:rsidR="00802C30" w:rsidRDefault="00802C30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802C30" w:rsidRDefault="00C6732D" w:rsidP="00C67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02C30">
        <w:rPr>
          <w:rFonts w:ascii="Times New Roman" w:hAnsi="Times New Roman" w:cs="Times New Roman"/>
          <w:sz w:val="24"/>
          <w:szCs w:val="24"/>
        </w:rPr>
        <w:t>1. Наименование рыбоводного участка – «</w:t>
      </w:r>
      <w:r w:rsidRPr="00C6732D">
        <w:rPr>
          <w:rFonts w:ascii="Times New Roman" w:hAnsi="Times New Roman" w:cs="Times New Roman"/>
          <w:sz w:val="24"/>
          <w:szCs w:val="24"/>
        </w:rPr>
        <w:t>Пруд на ручье Кунач юго-восточнее н. п. Грот Охочевского сельсовета Щигровского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2D">
        <w:rPr>
          <w:rFonts w:ascii="Times New Roman" w:hAnsi="Times New Roman" w:cs="Times New Roman"/>
          <w:sz w:val="24"/>
          <w:szCs w:val="24"/>
        </w:rPr>
        <w:t>Курской области</w:t>
      </w:r>
      <w:r w:rsidR="000A6D73">
        <w:rPr>
          <w:rFonts w:ascii="Times New Roman" w:hAnsi="Times New Roman" w:cs="Times New Roman"/>
          <w:sz w:val="24"/>
          <w:szCs w:val="24"/>
        </w:rPr>
        <w:t>».</w:t>
      </w:r>
    </w:p>
    <w:p w:rsidR="000A6D73" w:rsidRDefault="00C6732D" w:rsidP="00867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A6D73" w:rsidRPr="000A6D73">
        <w:rPr>
          <w:rFonts w:ascii="Times New Roman" w:hAnsi="Times New Roman" w:cs="Times New Roman"/>
          <w:color w:val="000000"/>
          <w:sz w:val="24"/>
          <w:szCs w:val="24"/>
        </w:rPr>
        <w:t xml:space="preserve">2. Местоположение, площадь и границы рыбоводного участка: </w:t>
      </w:r>
      <w:r w:rsidRPr="00C6732D">
        <w:rPr>
          <w:rFonts w:ascii="Times New Roman" w:hAnsi="Times New Roman" w:cs="Times New Roman"/>
          <w:sz w:val="24"/>
          <w:szCs w:val="24"/>
        </w:rPr>
        <w:t>Пруд на ручье Кунач юго-восточнее н. п. Грот Охочевского сельсовета Щигровского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2D">
        <w:rPr>
          <w:rFonts w:ascii="Times New Roman" w:hAnsi="Times New Roman" w:cs="Times New Roman"/>
          <w:sz w:val="24"/>
          <w:szCs w:val="24"/>
        </w:rPr>
        <w:t>Курской области</w:t>
      </w:r>
      <w:r w:rsidR="000A6D73" w:rsidRPr="000A6D73">
        <w:rPr>
          <w:rFonts w:ascii="Times New Roman" w:hAnsi="Times New Roman" w:cs="Times New Roman"/>
          <w:color w:val="000000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16</w:t>
      </w:r>
      <w:r w:rsidR="000A6D73" w:rsidRPr="000A6D73">
        <w:rPr>
          <w:rFonts w:ascii="Times New Roman" w:hAnsi="Times New Roman" w:cs="Times New Roman"/>
          <w:color w:val="000000"/>
          <w:sz w:val="24"/>
          <w:szCs w:val="24"/>
        </w:rPr>
        <w:t>,0 га, в границах:</w:t>
      </w:r>
    </w:p>
    <w:p w:rsidR="000A6D73" w:rsidRDefault="000A6D73" w:rsidP="00867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40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43"/>
        <w:gridCol w:w="1701"/>
      </w:tblGrid>
      <w:tr w:rsidR="000A6D73" w:rsidTr="00C6732D">
        <w:trPr>
          <w:trHeight w:val="450"/>
          <w:tblHeader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C6732D" w:rsidTr="00C6732D">
        <w:trPr>
          <w:trHeight w:val="450"/>
          <w:tblHeader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51°51'21.39"  51°51'47.77" 51°51'49.00"</w:t>
            </w: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36°45'33.48"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36°45'04.63"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36°45'55.88"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2D" w:rsidTr="00C6732D">
        <w:trPr>
          <w:trHeight w:val="6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732D" w:rsidRPr="00976FAB" w:rsidRDefault="00C6732D" w:rsidP="00C673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32D" w:rsidRPr="00976FAB" w:rsidRDefault="00C6732D" w:rsidP="00C67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6D73" w:rsidRPr="00867BE9" w:rsidRDefault="000A6D73" w:rsidP="0086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 xml:space="preserve">Вид водопользования- </w:t>
      </w:r>
      <w:r w:rsidR="00B2140C">
        <w:rPr>
          <w:rFonts w:ascii="Times New Roman" w:hAnsi="Times New Roman" w:cs="Times New Roman"/>
          <w:color w:val="000000"/>
          <w:sz w:val="24"/>
          <w:szCs w:val="24"/>
        </w:rPr>
        <w:t>обособленное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>
        <w:rPr>
          <w:rFonts w:ascii="Times New Roman" w:hAnsi="Times New Roman" w:cs="Times New Roman"/>
          <w:color w:val="000000"/>
          <w:sz w:val="24"/>
        </w:rPr>
        <w:t>пастбищная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02C30" w:rsidRDefault="0080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802C30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802C30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C6732D" w:rsidP="00867BE9">
            <w:pPr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  <w:sz w:val="24"/>
                <w:szCs w:val="24"/>
              </w:rPr>
              <w:t>Пруд на ручье Кунач юго-восточнее н. п. Грот Охочевского сельсовета Щигровского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2D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C6732D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C6732D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1,28</w:t>
            </w:r>
          </w:p>
          <w:p w:rsidR="00802C30" w:rsidRDefault="0080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r w:rsidR="00B21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B214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______________ 20___ г., по результатам проведения торгов в форме </w:t>
      </w:r>
      <w:r w:rsidR="005F28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6732D">
        <w:rPr>
          <w:rFonts w:ascii="Times New Roman" w:hAnsi="Times New Roman" w:cs="Times New Roman"/>
          <w:sz w:val="24"/>
          <w:szCs w:val="24"/>
        </w:rPr>
        <w:t>Курской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02C30" w:rsidRDefault="00802C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  <w:bookmarkStart w:id="0" w:name="_GoBack"/>
      <w:bookmarkEnd w:id="0"/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B214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водопользование;</w:t>
      </w: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наименование рыбоводного участка: «</w:t>
      </w:r>
      <w:r w:rsidR="00C6732D" w:rsidRPr="00C6732D">
        <w:rPr>
          <w:rFonts w:ascii="Times New Roman" w:hAnsi="Times New Roman" w:cs="Times New Roman"/>
          <w:sz w:val="24"/>
          <w:szCs w:val="24"/>
        </w:rPr>
        <w:t>Пруд на ручье Кунач юго-восточнее н. п. Грот Охочевского сельсовета Щигровского района</w:t>
      </w:r>
      <w:r w:rsidR="00C6732D">
        <w:rPr>
          <w:rFonts w:ascii="Times New Roman" w:hAnsi="Times New Roman" w:cs="Times New Roman"/>
          <w:sz w:val="24"/>
          <w:szCs w:val="24"/>
        </w:rPr>
        <w:t xml:space="preserve"> </w:t>
      </w:r>
      <w:r w:rsidR="00C6732D" w:rsidRPr="00C6732D">
        <w:rPr>
          <w:rFonts w:ascii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02C30" w:rsidRPr="00D95C91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местоположение рыбоводного участка: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732D" w:rsidRPr="00C6732D">
        <w:rPr>
          <w:rFonts w:ascii="Times New Roman" w:hAnsi="Times New Roman" w:cs="Times New Roman"/>
          <w:sz w:val="24"/>
          <w:szCs w:val="24"/>
        </w:rPr>
        <w:t>юго-восточнее н. п. Грот Охочевского сельсовета Щигровского района</w:t>
      </w:r>
      <w:r w:rsidR="00C6732D">
        <w:rPr>
          <w:rFonts w:ascii="Times New Roman" w:hAnsi="Times New Roman" w:cs="Times New Roman"/>
          <w:sz w:val="24"/>
          <w:szCs w:val="24"/>
        </w:rPr>
        <w:t xml:space="preserve"> </w:t>
      </w:r>
      <w:r w:rsidR="00C6732D" w:rsidRPr="00C6732D">
        <w:rPr>
          <w:rFonts w:ascii="Times New Roman" w:hAnsi="Times New Roman" w:cs="Times New Roman"/>
          <w:sz w:val="24"/>
          <w:szCs w:val="24"/>
        </w:rPr>
        <w:t>Курской области</w:t>
      </w:r>
      <w:r w:rsidR="00D95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C6732D">
        <w:rPr>
          <w:rFonts w:ascii="Times New Roman" w:eastAsia="Times New Roman" w:hAnsi="Times New Roman" w:cs="Times New Roman"/>
          <w:sz w:val="24"/>
          <w:szCs w:val="24"/>
          <w:lang w:eastAsia="ru-RU"/>
        </w:rPr>
        <w:t>16,0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0" w:type="auto"/>
        <w:tblInd w:w="312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126"/>
        <w:gridCol w:w="1985"/>
      </w:tblGrid>
      <w:tr w:rsidR="00976FAB" w:rsidTr="00C6732D">
        <w:trPr>
          <w:trHeight w:val="450"/>
          <w:tblHeader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FAB" w:rsidRPr="00976FAB" w:rsidRDefault="00976FAB" w:rsidP="00976FAB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FAB" w:rsidRPr="00976FAB" w:rsidRDefault="00976FAB" w:rsidP="00976FAB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C6732D" w:rsidTr="00C6732D">
        <w:trPr>
          <w:trHeight w:val="450"/>
          <w:tblHeader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51°51'21.39"  51°51'47.77" 51°51'49.00"</w:t>
            </w: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36°45'33.48"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36°45'04.63"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</w:rPr>
              <w:t>36°45'55.88"</w:t>
            </w:r>
          </w:p>
          <w:p w:rsidR="00C6732D" w:rsidRPr="00C6732D" w:rsidRDefault="00C6732D" w:rsidP="00C67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2D" w:rsidTr="00C6732D">
        <w:trPr>
          <w:trHeight w:val="68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732D" w:rsidRPr="00976FAB" w:rsidRDefault="00C6732D" w:rsidP="00C6732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32D" w:rsidRPr="00976FAB" w:rsidRDefault="00C6732D" w:rsidP="00C67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D95C91" w:rsidTr="003F4FDB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C6732D" w:rsidTr="003F4FDB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32D" w:rsidRDefault="00C6732D" w:rsidP="00C6732D">
            <w:pPr>
              <w:spacing w:after="0" w:line="240" w:lineRule="auto"/>
              <w:jc w:val="center"/>
            </w:pPr>
            <w:r w:rsidRPr="00C6732D">
              <w:rPr>
                <w:rFonts w:ascii="Times New Roman" w:hAnsi="Times New Roman" w:cs="Times New Roman"/>
                <w:sz w:val="24"/>
                <w:szCs w:val="24"/>
              </w:rPr>
              <w:t>Пруд на ручье Кунач юго-восточнее н. п. Грот Охочевского сельсовета Щигровского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2D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32D" w:rsidRDefault="00C6732D" w:rsidP="00C6732D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32D" w:rsidRDefault="00C6732D" w:rsidP="00C6732D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2D" w:rsidRDefault="00C6732D" w:rsidP="00C6732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32D" w:rsidRDefault="00C6732D" w:rsidP="00C6732D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1,28</w:t>
            </w:r>
          </w:p>
          <w:p w:rsidR="00C6732D" w:rsidRDefault="00C6732D" w:rsidP="00C6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32D" w:rsidRDefault="00C6732D" w:rsidP="00C6732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Рыбоводное хозяйство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802C30" w:rsidRDefault="00802C3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Прекращение и порядок расторжения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</w:t>
      </w:r>
      <w:bookmarkStart w:id="1" w:name="_GoBack7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Договором, Стороны руководствуются действующим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802C30">
        <w:tc>
          <w:tcPr>
            <w:tcW w:w="5095" w:type="dxa"/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802C30" w:rsidRDefault="00802C3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98226F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98226F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63312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0" w:rsidRDefault="00163312" w:rsidP="00163312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02C30" w:rsidRDefault="00802C30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802C30" w:rsidRDefault="00802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font297" w:hAnsi="Times New Roman" w:cs="Times New Roman"/>
          <w:sz w:val="24"/>
          <w:szCs w:val="24"/>
        </w:rPr>
        <w:t xml:space="preserve">Географическая карта (схема) </w:t>
      </w:r>
      <w:r>
        <w:rPr>
          <w:rFonts w:ascii="Times New Roman" w:hAnsi="Times New Roman" w:cs="Times New Roman"/>
          <w:sz w:val="24"/>
          <w:szCs w:val="24"/>
        </w:rPr>
        <w:t>рыбоводного участка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32D" w:rsidRDefault="00C6732D" w:rsidP="00C6732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</w:p>
    <w:p w:rsidR="00C6732D" w:rsidRDefault="00C6732D" w:rsidP="00C67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32D" w:rsidRDefault="00C6732D" w:rsidP="00C6732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Пруд на ручье Кунач юго-восточнее н. п. Грот Охочевского сельсовета Щигровского района</w:t>
      </w:r>
    </w:p>
    <w:p w:rsidR="00C6732D" w:rsidRDefault="00C6732D" w:rsidP="00C6732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Курской области площадью </w:t>
      </w:r>
      <w:r w:rsidRPr="00590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16,0 га.</w:t>
      </w:r>
    </w:p>
    <w:p w:rsidR="00C6732D" w:rsidRDefault="00C6732D" w:rsidP="00C67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2D" w:rsidRDefault="00016284" w:rsidP="00C67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cs="font2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25.5pt;width:510.15pt;height:351.75pt;z-index:1;mso-wrap-distance-left:0;mso-wrap-distance-right:0" filled="t">
            <v:fill color2="black"/>
            <v:imagedata r:id="rId7" o:title="" croptop="-4f" cropbottom="-4f" cropleft="-5f" cropright="-5f"/>
            <w10:wrap type="square" side="largest"/>
          </v:shape>
        </w:pict>
      </w:r>
    </w:p>
    <w:p w:rsidR="00C6732D" w:rsidRDefault="00C6732D" w:rsidP="00C67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32D" w:rsidRDefault="00C6732D" w:rsidP="00C673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92"/>
        <w:gridCol w:w="4924"/>
      </w:tblGrid>
      <w:tr w:rsidR="00C6732D" w:rsidTr="00DA0FF8">
        <w:trPr>
          <w:trHeight w:val="562"/>
          <w:tblHeader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C6732D" w:rsidRDefault="00C6732D" w:rsidP="00DA0F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C6732D" w:rsidRDefault="00C6732D" w:rsidP="00DA0F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 (E)</w:t>
            </w:r>
          </w:p>
        </w:tc>
      </w:tr>
      <w:tr w:rsidR="00C6732D" w:rsidTr="00DA0FF8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C6732D" w:rsidRDefault="00C6732D" w:rsidP="00DA0F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32D" w:rsidRDefault="00C6732D" w:rsidP="00DA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32D" w:rsidRDefault="00C6732D" w:rsidP="00DA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51°51'21.39"  </w:t>
            </w:r>
          </w:p>
          <w:p w:rsidR="00C6732D" w:rsidRDefault="00C6732D" w:rsidP="00DA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51°51'47.77" </w:t>
            </w:r>
          </w:p>
          <w:p w:rsidR="00C6732D" w:rsidRDefault="00C6732D" w:rsidP="00DA0F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51°51'49.00"</w:t>
            </w:r>
          </w:p>
          <w:p w:rsidR="00C6732D" w:rsidRDefault="00C6732D" w:rsidP="00DA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32D" w:rsidRDefault="00C6732D" w:rsidP="00DA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6732D" w:rsidRDefault="00C6732D" w:rsidP="00DA0F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32D" w:rsidRDefault="00C6732D" w:rsidP="00DA0F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32D" w:rsidRDefault="00C6732D" w:rsidP="00DA0FF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36°45'33.48"</w:t>
            </w:r>
          </w:p>
          <w:p w:rsidR="00C6732D" w:rsidRDefault="00C6732D" w:rsidP="00DA0FF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36°45'04.63"</w:t>
            </w:r>
          </w:p>
          <w:p w:rsidR="00C6732D" w:rsidRDefault="00C6732D" w:rsidP="00DA0FF8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36°45'55.88"</w:t>
            </w:r>
          </w:p>
          <w:p w:rsidR="00C6732D" w:rsidRDefault="00C6732D" w:rsidP="00DA0F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C30">
      <w:headerReference w:type="first" r:id="rId8"/>
      <w:pgSz w:w="11906" w:h="16838"/>
      <w:pgMar w:top="766" w:right="566" w:bottom="720" w:left="1134" w:header="709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84" w:rsidRDefault="00016284">
      <w:pPr>
        <w:spacing w:after="0" w:line="240" w:lineRule="auto"/>
      </w:pPr>
      <w:r>
        <w:separator/>
      </w:r>
    </w:p>
  </w:endnote>
  <w:endnote w:type="continuationSeparator" w:id="0">
    <w:p w:rsidR="00016284" w:rsidRDefault="0001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charset w:val="01"/>
    <w:family w:val="auto"/>
    <w:pitch w:val="variable"/>
  </w:font>
  <w:font w:name="font296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84" w:rsidRDefault="00016284">
      <w:pPr>
        <w:spacing w:after="0" w:line="240" w:lineRule="auto"/>
      </w:pPr>
      <w:r>
        <w:separator/>
      </w:r>
    </w:p>
  </w:footnote>
  <w:footnote w:type="continuationSeparator" w:id="0">
    <w:p w:rsidR="00016284" w:rsidRDefault="0001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BBA" w:rsidRDefault="00220BB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B2140C">
      <w:rPr>
        <w:noProof/>
      </w:rPr>
      <w:t>1</w:t>
    </w:r>
    <w:r>
      <w:fldChar w:fldCharType="end"/>
    </w:r>
  </w:p>
  <w:p w:rsidR="00220BBA" w:rsidRDefault="00220B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22"/>
    <w:rsid w:val="00016284"/>
    <w:rsid w:val="000A6D73"/>
    <w:rsid w:val="00163312"/>
    <w:rsid w:val="00167614"/>
    <w:rsid w:val="0017775C"/>
    <w:rsid w:val="001B6233"/>
    <w:rsid w:val="00220BBA"/>
    <w:rsid w:val="003E504A"/>
    <w:rsid w:val="003F4FDB"/>
    <w:rsid w:val="004809C3"/>
    <w:rsid w:val="005179D0"/>
    <w:rsid w:val="005F28D2"/>
    <w:rsid w:val="00630211"/>
    <w:rsid w:val="00641510"/>
    <w:rsid w:val="00802C30"/>
    <w:rsid w:val="00867BE9"/>
    <w:rsid w:val="0091055D"/>
    <w:rsid w:val="00976FAB"/>
    <w:rsid w:val="0098226F"/>
    <w:rsid w:val="00A34C22"/>
    <w:rsid w:val="00B2140C"/>
    <w:rsid w:val="00C34E53"/>
    <w:rsid w:val="00C37912"/>
    <w:rsid w:val="00C6732D"/>
    <w:rsid w:val="00CD1B16"/>
    <w:rsid w:val="00CF3252"/>
    <w:rsid w:val="00D95C91"/>
    <w:rsid w:val="00DA370A"/>
    <w:rsid w:val="00E519AF"/>
    <w:rsid w:val="00E73085"/>
    <w:rsid w:val="00EE51D2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0E0AD33E-6616-496D-B106-4465BF9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font297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font297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rPr>
      <w:rFonts w:ascii="Cambria" w:eastAsia="font297" w:hAnsi="Cambria" w:cs="font297"/>
      <w:b/>
      <w:bCs/>
      <w:color w:val="4F81BD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basedOn w:val="10"/>
  </w:style>
  <w:style w:type="character" w:customStyle="1" w:styleId="a8">
    <w:name w:val="Нижний колонтитул Знак"/>
    <w:basedOn w:val="10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rPr>
      <w:i w:val="0"/>
      <w:color w:val="auto"/>
      <w:sz w:val="28"/>
      <w:szCs w:val="28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  <w:rPr>
      <w:sz w:val="28"/>
    </w:rPr>
  </w:style>
  <w:style w:type="character" w:customStyle="1" w:styleId="ListLabel12">
    <w:name w:val="ListLabel 12"/>
    <w:rPr>
      <w:i w:val="0"/>
      <w:color w:val="auto"/>
      <w:sz w:val="28"/>
      <w:szCs w:val="28"/>
    </w:rPr>
  </w:style>
  <w:style w:type="character" w:customStyle="1" w:styleId="ListLabel13">
    <w:name w:val="ListLabel 13"/>
    <w:rPr>
      <w:b w:val="0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бычный1"/>
    <w:pPr>
      <w:suppressAutoHyphens/>
    </w:pPr>
  </w:style>
  <w:style w:type="paragraph" w:customStyle="1" w:styleId="19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FrameContents">
    <w:name w:val="Frame Contents"/>
    <w:basedOn w:val="a"/>
  </w:style>
  <w:style w:type="paragraph" w:customStyle="1" w:styleId="1a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Strong"/>
    <w:uiPriority w:val="22"/>
    <w:qFormat/>
    <w:rsid w:val="00E7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Office-User-13</dc:creator>
  <cp:keywords/>
  <cp:lastModifiedBy>Федорова Галина</cp:lastModifiedBy>
  <cp:revision>3</cp:revision>
  <cp:lastPrinted>1995-11-21T14:41:00Z</cp:lastPrinted>
  <dcterms:created xsi:type="dcterms:W3CDTF">2021-02-08T12:43:00Z</dcterms:created>
  <dcterms:modified xsi:type="dcterms:W3CDTF">2021-02-15T08:14:00Z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